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</w:t>
      </w:r>
      <w:r w:rsidR="0076188A">
        <w:rPr>
          <w:rFonts w:ascii="Times New Roman" w:hAnsi="Times New Roman"/>
          <w:spacing w:val="-4"/>
          <w:sz w:val="24"/>
          <w:szCs w:val="24"/>
        </w:rPr>
        <w:t>01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188A">
        <w:rPr>
          <w:rFonts w:ascii="Times New Roman" w:hAnsi="Times New Roman"/>
          <w:spacing w:val="-4"/>
          <w:sz w:val="24"/>
          <w:szCs w:val="24"/>
        </w:rPr>
        <w:t>января</w:t>
      </w:r>
      <w:r w:rsidR="00643467">
        <w:rPr>
          <w:rFonts w:ascii="Times New Roman" w:hAnsi="Times New Roman"/>
          <w:spacing w:val="-4"/>
          <w:sz w:val="24"/>
          <w:szCs w:val="24"/>
        </w:rPr>
        <w:t xml:space="preserve">  2021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 основании Доверенности №02.1-07/</w:t>
      </w:r>
      <w:r w:rsidR="00E5456C">
        <w:rPr>
          <w:b w:val="0"/>
          <w:spacing w:val="-4"/>
          <w:szCs w:val="24"/>
        </w:rPr>
        <w:t>26</w:t>
      </w:r>
      <w:r w:rsidR="00031CD4">
        <w:rPr>
          <w:b w:val="0"/>
          <w:spacing w:val="-4"/>
          <w:szCs w:val="24"/>
        </w:rPr>
        <w:t xml:space="preserve"> от 26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2.2021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Правилами з</w:t>
      </w:r>
      <w:r w:rsidRPr="00C3480E">
        <w:rPr>
          <w:b w:val="0"/>
          <w:spacing w:val="-4"/>
          <w:szCs w:val="24"/>
        </w:rPr>
        <w:t>а</w:t>
      </w:r>
      <w:r w:rsidRPr="00C3480E">
        <w:rPr>
          <w:b w:val="0"/>
          <w:spacing w:val="-4"/>
          <w:szCs w:val="24"/>
        </w:rPr>
        <w:t>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</w:t>
      </w:r>
      <w:r w:rsidRPr="00C3480E">
        <w:rPr>
          <w:b w:val="0"/>
          <w:spacing w:val="-4"/>
          <w:szCs w:val="24"/>
        </w:rPr>
        <w:t>ю</w:t>
      </w:r>
      <w:r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  <w:bookmarkStart w:id="0" w:name="_GoBack"/>
      <w:bookmarkEnd w:id="0"/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A15805">
        <w:rPr>
          <w:rFonts w:ascii="Times New Roman" w:hAnsi="Times New Roman"/>
          <w:spacing w:val="-4"/>
          <w:sz w:val="24"/>
          <w:szCs w:val="24"/>
        </w:rPr>
        <w:t>ия работ – дата месяц 2021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A15805">
        <w:rPr>
          <w:rFonts w:ascii="Times New Roman" w:hAnsi="Times New Roman"/>
          <w:spacing w:val="-4"/>
          <w:sz w:val="24"/>
          <w:szCs w:val="24"/>
        </w:rPr>
        <w:t>вершение работ – дата месяц 2021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DE691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2020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</w:t>
      </w:r>
      <w:r w:rsidRPr="00435C4A">
        <w:rPr>
          <w:rFonts w:ascii="Times New Roman" w:hAnsi="Times New Roman"/>
          <w:spacing w:val="-4"/>
          <w:sz w:val="24"/>
          <w:szCs w:val="24"/>
        </w:rPr>
        <w:lastRenderedPageBreak/>
        <w:t>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письменной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27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2" w:name="Par45"/>
      <w:bookmarkEnd w:id="2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для выполнения отдельных разделов (частей) проектной документации, видов (этапов)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ами работ условиям заключенных договоров субподряда и договора, а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lastRenderedPageBreak/>
        <w:t>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по акту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согласования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вором, - в размере не менее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наступлении, предполагаемом сроке действия и прекращения. Уведомление должно быть по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C3480E" w:rsidRDefault="004B1371" w:rsidP="00E55E78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.1. Документы, имеющие отношение к настоящему договору, переданные посредством факсимильной связи, имеют юридическую силу. Сторона, направившая факсимильное сообщение, обязана в течение 10 (десяти)  календарных дней представить в адрес другой стороны оригиналы документов, имеющих отношение к настоящему договору.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.2.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.3.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9.5. </w:t>
      </w:r>
      <w:r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Pr="00684D45">
        <w:rPr>
          <w:rFonts w:ascii="Times New Roman" w:hAnsi="Times New Roman"/>
          <w:spacing w:val="-4"/>
          <w:sz w:val="24"/>
          <w:szCs w:val="24"/>
        </w:rPr>
        <w:t>л</w:t>
      </w:r>
      <w:r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</w:t>
      </w:r>
      <w:r w:rsidRPr="00684D45">
        <w:rPr>
          <w:rFonts w:ascii="Times New Roman" w:hAnsi="Times New Roman"/>
          <w:spacing w:val="-4"/>
          <w:sz w:val="24"/>
          <w:szCs w:val="24"/>
        </w:rPr>
        <w:t>д</w:t>
      </w:r>
      <w:r w:rsidRPr="00684D45">
        <w:rPr>
          <w:rFonts w:ascii="Times New Roman" w:hAnsi="Times New Roman"/>
          <w:spacing w:val="-4"/>
          <w:sz w:val="24"/>
          <w:szCs w:val="24"/>
        </w:rPr>
        <w:t>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</w:t>
      </w:r>
      <w:r w:rsidRPr="00684D45">
        <w:rPr>
          <w:rFonts w:ascii="Times New Roman" w:hAnsi="Times New Roman"/>
          <w:spacing w:val="-4"/>
          <w:sz w:val="24"/>
          <w:szCs w:val="24"/>
        </w:rPr>
        <w:t>ю</w:t>
      </w:r>
      <w:r w:rsidRPr="00684D45">
        <w:rPr>
          <w:rFonts w:ascii="Times New Roman" w:hAnsi="Times New Roman"/>
          <w:spacing w:val="-4"/>
          <w:sz w:val="24"/>
          <w:szCs w:val="24"/>
        </w:rPr>
        <w:t>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стров Республики Беларусь от 01.04.2014  № 297, Указом Президента Республики Беларусь от 29 июня 2000 года №359 «Об утверждении порядка расчетов между</w:t>
      </w:r>
      <w:proofErr w:type="gramEnd"/>
      <w:r w:rsidRPr="00684D45">
        <w:rPr>
          <w:rFonts w:ascii="Times New Roman" w:hAnsi="Times New Roman"/>
          <w:spacing w:val="-4"/>
          <w:sz w:val="24"/>
          <w:szCs w:val="24"/>
        </w:rPr>
        <w:t xml:space="preserve"> юридическими лицами, индив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дуальными предпринимателями в Республике Беларусь».</w:t>
      </w:r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11.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lastRenderedPageBreak/>
        <w:t>иные действия, выполняемые работником, но идущие вразрез с принципами прозра</w:t>
      </w:r>
      <w:r w:rsidRPr="001370D3">
        <w:rPr>
          <w:rFonts w:ascii="Times New Roman" w:hAnsi="Times New Roman"/>
          <w:sz w:val="24"/>
          <w:szCs w:val="24"/>
        </w:rPr>
        <w:t>ч</w:t>
      </w:r>
      <w:r w:rsidRPr="001370D3">
        <w:rPr>
          <w:rFonts w:ascii="Times New Roman" w:hAnsi="Times New Roman"/>
          <w:sz w:val="24"/>
          <w:szCs w:val="24"/>
        </w:rPr>
        <w:t>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01D06">
      <w:rPr>
        <w:rStyle w:val="ad"/>
        <w:noProof/>
      </w:rPr>
      <w:t>1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4663"/>
    <w:rsid w:val="007F187A"/>
    <w:rsid w:val="007F6D0C"/>
    <w:rsid w:val="007F7CFC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E16-617A-46E3-B028-CECA58B3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11</Pages>
  <Words>4168</Words>
  <Characters>31376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26</cp:revision>
  <cp:lastPrinted>2021-06-21T14:39:00Z</cp:lastPrinted>
  <dcterms:created xsi:type="dcterms:W3CDTF">2020-07-11T19:15:00Z</dcterms:created>
  <dcterms:modified xsi:type="dcterms:W3CDTF">2021-06-22T08:49:00Z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